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 xml:space="preserve">1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</w:t>
      </w:r>
      <w:r>
        <w:rPr>
          <w:rFonts w:ascii="Times New Roman" w:hAnsi="Times New Roman"/>
          <w:sz w:val="24"/>
          <w:szCs w:val="28"/>
        </w:rPr>
        <w:t xml:space="preserve"> письму от «12» мая 2022 года № 15/07-исх-797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Описание критериев оценки программ, проектов, технологий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/>
    </w:p>
    <w:tbl>
      <w:tblPr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520"/>
      </w:tblGrid>
      <w:tr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</w:t>
            </w:r>
            <w:r/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</w:t>
            </w:r>
            <w:r/>
          </w:p>
        </w:tc>
      </w:tr>
      <w:tr>
        <w:trPr>
          <w:jc w:val="center"/>
          <w:trHeight w:val="1301"/>
        </w:trPr>
        <w:tc>
          <w:tcPr>
            <w:tcW w:w="562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Паспорт программы, проекта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паспорте указывается наименование учреждения с указанием территориальной принадлежности; наименование, направленность программы, Ф.И.О. составителя(ей) с указанием должностей;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работников, реализующих программу, с указанием должностей; должностное лицо, утвердившее программу, дата утверждения; практическая значимость; цель, задачи программы; целевая группа; сроки реализации; ожидаемый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паспорта – не более 2-х страниц</w:t>
            </w:r>
            <w:r/>
          </w:p>
        </w:tc>
      </w:tr>
      <w:tr>
        <w:trPr>
          <w:jc w:val="center"/>
          <w:trHeight w:val="36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86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Пояснительная записка</w:t>
            </w:r>
            <w:r/>
          </w:p>
        </w:tc>
      </w:tr>
      <w:tr>
        <w:trPr>
          <w:jc w:val="center"/>
          <w:trHeight w:val="974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Описание актуальности </w:t>
            </w:r>
            <w:r>
              <w:rPr>
                <w:color w:val="000000"/>
              </w:rPr>
              <w:t xml:space="preserve">/ общие положения</w:t>
            </w:r>
            <w:r/>
          </w:p>
        </w:tc>
        <w:tc>
          <w:tcPr>
            <w:tcBorders>
              <w:bottom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Обозначается значимость социальной проблемы, на решение которой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направлена программа, нормативное правовое обеспечение.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Доказывается, что именно данная программа, в данных условиях, именно для этого клиента способна решить конкретную(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социальную(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проблему(ы).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временные рамки программы</w:t>
            </w:r>
            <w:r/>
          </w:p>
        </w:tc>
      </w:tr>
      <w:tr>
        <w:trPr>
          <w:jc w:val="center"/>
          <w:trHeight w:val="227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Целевая группа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целевая группа с указанием возраста </w:t>
            </w:r>
            <w:r/>
          </w:p>
        </w:tc>
      </w:tr>
      <w:tr>
        <w:trPr>
          <w:jc w:val="center"/>
          <w:trHeight w:val="54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Цель программы, проекта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программ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ы определяется как результат ее реализации.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должна быть реалистична, конкретна, достижима, измерима</w:t>
            </w:r>
            <w:r/>
          </w:p>
        </w:tc>
      </w:tr>
      <w:tr>
        <w:trPr>
          <w:jc w:val="center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Задачи программы, проекта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Определяется, что в ходе реализации данной программы необходимо сделать, чтобы достичь поставленной цели: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организовать;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исследовать;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сделать практически;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проанализировать.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являются шагами к достижению цели и всегда соотносятся с результатами деятельности</w:t>
            </w:r>
            <w:r/>
          </w:p>
        </w:tc>
      </w:tr>
      <w:tr>
        <w:trPr>
          <w:jc w:val="center"/>
          <w:trHeight w:val="777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Направленность программы, проекта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необходимости указываются направления работы (медицинское, психологическое, педагогическое; диагностическое, коррекционное, развивающее, обучающее, воспитательное и др.)</w:t>
            </w:r>
            <w:r/>
          </w:p>
        </w:tc>
      </w:tr>
      <w:tr>
        <w:trPr>
          <w:jc w:val="center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Формы работы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организационные, исследовательские, практические и аналитические формы работы</w:t>
            </w:r>
            <w:r/>
          </w:p>
        </w:tc>
      </w:tr>
      <w:tr>
        <w:trPr>
          <w:jc w:val="center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Методы работы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методы работы (информирование, беседа, рассказ, объяснение, демонстрация, иллюстрация,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видеометод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игровые методы, дискуссия, рисование, чтение и т. д.)</w:t>
            </w:r>
            <w:r/>
          </w:p>
        </w:tc>
      </w:tr>
      <w:tr>
        <w:trPr>
          <w:jc w:val="center"/>
          <w:trHeight w:val="726"/>
        </w:trPr>
        <w:tc>
          <w:tcPr>
            <w:tcW w:w="562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Этапы реализации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Определяются этапы реализации программы и указываются их сроки: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этап (год, количество месяцев); практический этап (год, количество месяцев); аналитический этап (год, количество месяцев)</w:t>
            </w:r>
            <w:r/>
          </w:p>
        </w:tc>
      </w:tr>
      <w:tr>
        <w:trPr>
          <w:jc w:val="center"/>
          <w:trHeight w:val="617"/>
        </w:trPr>
        <w:tc>
          <w:tcPr>
            <w:tcW w:w="562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Механизм </w:t>
            </w:r>
            <w:r>
              <w:rPr>
                <w:color w:val="000000"/>
              </w:rPr>
              <w:t xml:space="preserve">реализации</w:t>
            </w:r>
            <w:r/>
          </w:p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</w:t>
            </w:r>
            <w:r>
              <w:rPr>
                <w:i/>
                <w:color w:val="000000"/>
              </w:rPr>
              <w:t xml:space="preserve">для</w:t>
            </w:r>
            <w:r>
              <w:rPr>
                <w:i/>
                <w:color w:val="000000"/>
              </w:rPr>
              <w:t xml:space="preserve"> программ и проектов)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Данный раздел содержит: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табличном формате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котором отражены: наименование мероприятия, необходимое оборудование, результат и иные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пункты на усмотрение автора(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методы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описанием, схемы и прочее.</w:t>
            </w:r>
            <w:r/>
          </w:p>
        </w:tc>
      </w:tr>
      <w:tr>
        <w:trPr>
          <w:jc w:val="center"/>
          <w:trHeight w:val="266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5.</w:t>
            </w:r>
            <w:r/>
          </w:p>
        </w:tc>
        <w:tc>
          <w:tcPr>
            <w:gridSpan w:val="2"/>
            <w:tcW w:w="86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Ресурсы, необходимые для реализации программы, проекта, технологии</w:t>
            </w:r>
            <w:r/>
          </w:p>
        </w:tc>
      </w:tr>
      <w:tr>
        <w:trPr>
          <w:jc w:val="center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Кадровые ресурсы 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Определяются специалисты, которые будут задействованы в реализации программы и роль каждого из участников (ответственность). Возможно оформление сведений в форме таблицы</w:t>
            </w:r>
            <w:r/>
          </w:p>
        </w:tc>
      </w:tr>
      <w:tr>
        <w:trPr>
          <w:jc w:val="center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Материально-технические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Указываются материальные и технические средства (от помещения до канцелярских товаров), необходимые для реализации данной программы. Бюджет (какой, сколько) и его обоснование (при необходимости)</w:t>
            </w:r>
            <w:r/>
          </w:p>
        </w:tc>
      </w:tr>
      <w:tr>
        <w:trPr>
          <w:jc w:val="center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ресурсы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Определяются формы донесения информации для клиентов, потребителей услуг (в том числе потенциальных)</w:t>
            </w:r>
            <w:r/>
          </w:p>
        </w:tc>
      </w:tr>
      <w:tr>
        <w:trPr>
          <w:jc w:val="center"/>
          <w:trHeight w:val="131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Методические ресурсы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предполагаемое методическое оснащение (методические разработки, рекомендации, авторские методики) и сопровождение, используемые методики</w:t>
            </w:r>
            <w:r/>
          </w:p>
        </w:tc>
      </w:tr>
      <w:tr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Приложения </w:t>
            </w:r>
            <w:r>
              <w:rPr>
                <w:color w:val="000000"/>
              </w:rPr>
              <w:t xml:space="preserve"> 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етодически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измерительны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оценочные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(иллюстративн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 по тематике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конспект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занятий, технологические карты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схемы, диагностические 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 д.)</w:t>
            </w:r>
            <w:r/>
          </w:p>
        </w:tc>
      </w:tr>
      <w:tr>
        <w:trPr>
          <w:jc w:val="center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7.</w:t>
            </w:r>
            <w:r/>
          </w:p>
        </w:tc>
        <w:tc>
          <w:tcPr>
            <w:gridSpan w:val="2"/>
            <w:tcW w:w="8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Эффективность реализации программы, проекта</w:t>
            </w:r>
            <w:r/>
          </w:p>
        </w:tc>
      </w:tr>
      <w:tr>
        <w:trPr>
          <w:jc w:val="center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jc w:val="both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(количественные, качественные) формулируются для каждой из поставленных задач. Результаты должны быть конкретны, измеримы. Прогнозируется социальный эффект, ожидаемый от реализации программы, проекта</w:t>
            </w:r>
            <w:r/>
          </w:p>
        </w:tc>
      </w:tr>
      <w:tr>
        <w:trPr>
          <w:jc w:val="center"/>
          <w:trHeight w:val="116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255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Полученные результаты 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Полученные результаты указываются в том случае, когда программа, проект находятся на стадии реализации. Описывается достигнутый социальный эффект.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результатах должны быть отражены качественные результаты, статистические данные эффективности реализации представленных материалов за последние 1 – 3 года. Соответствие полученных результатов цели и задачам программы</w:t>
            </w:r>
            <w:r/>
          </w:p>
        </w:tc>
      </w:tr>
      <w:tr>
        <w:trPr>
          <w:jc w:val="center"/>
          <w:trHeight w:val="1183"/>
        </w:trPr>
        <w:tc>
          <w:tcPr>
            <w:tcW w:w="562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50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8.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50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Целостность программы, проекта, технологии, адекватность и достаточность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677"/>
              <w:jc w:val="both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Полнота и конкретность, согласованность и взаимосвязь всех структурных элементов, внутренняя логика, последовательность изложения материала</w:t>
            </w:r>
            <w:r/>
          </w:p>
        </w:tc>
      </w:tr>
      <w:tr>
        <w:trPr>
          <w:jc w:val="center"/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50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50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Языково-стилистическое оформление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pStyle w:val="677"/>
              <w:jc w:val="both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нормами русского языка; </w:t>
            </w:r>
            <w:r>
              <w:rPr>
                <w:rStyle w:val="678"/>
                <w:rFonts w:ascii="Times New Roman" w:hAnsi="Times New Roman"/>
              </w:rPr>
              <w:t xml:space="preserve">содержание текста по форме своего изложения должно быть доступно специалистам, на которых рассчитана работа. О</w:t>
            </w:r>
            <w:r>
              <w:rPr>
                <w:rFonts w:ascii="Times New Roman" w:hAnsi="Times New Roman"/>
                <w:color w:val="000000"/>
              </w:rPr>
              <w:t xml:space="preserve">тсутствие логических, речевых, грамматических, орфографических и пунктуационных ошибок</w:t>
            </w:r>
            <w:r/>
          </w:p>
        </w:tc>
      </w:tr>
      <w:tr>
        <w:trPr>
          <w:jc w:val="center"/>
          <w:trHeight w:val="10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50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676"/>
              <w:contextualSpacing w:val="0"/>
              <w:ind w:left="0"/>
              <w:tabs>
                <w:tab w:val="left" w:pos="50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Список литературы и сокращения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pStyle w:val="679"/>
              <w:jc w:val="both"/>
              <w:spacing w:before="0" w:beforeAutospacing="0" w:after="0" w:afterAutospacing="0"/>
              <w:rPr>
                <w:color w:val="000000"/>
              </w:rPr>
            </w:pPr>
            <w:r>
              <w:t xml:space="preserve">Библиографические списки, списки литературы должны быть оформлены согласно ГОСТ Р 7.0.100-2018. Библиографическая запись. Библиографическое описание. Общие требования и правила составления</w:t>
            </w:r>
            <w:r>
              <w:rPr>
                <w:color w:val="000000"/>
              </w:rPr>
              <w:t xml:space="preserve">; приводимые сокращения указываются в соответствии с </w:t>
            </w:r>
            <w:r>
              <w:t xml:space="preserve">ГОСТ Р 7.0.12-2011. Библиографическая запись. Сокращение слов и словосочетаний на русском языке. Общие требования и правила</w:t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418" w:right="1276" w:bottom="1134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bannikovaap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73149283"/>
      <w:docPartObj>
        <w:docPartGallery w:val="Page Numbers (Top of Page)"/>
        <w:docPartUnique w:val="true"/>
      </w:docPartObj>
      <w:rPr/>
    </w:sdtPr>
    <w:sdtContent>
      <w:p>
        <w:pPr>
          <w:pStyle w:val="6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</w:pPr>
    <w:r/>
    <w:r/>
  </w:p>
  <w:p>
    <w:pPr>
      <w:pStyle w:val="6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2"/>
    <w:next w:val="67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2"/>
    <w:next w:val="67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2"/>
    <w:next w:val="67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2"/>
    <w:next w:val="67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3"/>
    <w:link w:val="32"/>
    <w:uiPriority w:val="10"/>
    <w:rPr>
      <w:sz w:val="48"/>
      <w:szCs w:val="48"/>
    </w:rPr>
  </w:style>
  <w:style w:type="paragraph" w:styleId="34">
    <w:name w:val="Subtitle"/>
    <w:basedOn w:val="672"/>
    <w:next w:val="67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3"/>
    <w:link w:val="34"/>
    <w:uiPriority w:val="11"/>
    <w:rPr>
      <w:sz w:val="24"/>
      <w:szCs w:val="24"/>
    </w:rPr>
  </w:style>
  <w:style w:type="paragraph" w:styleId="36">
    <w:name w:val="Quote"/>
    <w:basedOn w:val="672"/>
    <w:next w:val="67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2"/>
    <w:next w:val="67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3"/>
    <w:link w:val="680"/>
    <w:uiPriority w:val="99"/>
  </w:style>
  <w:style w:type="character" w:styleId="43">
    <w:name w:val="Footer Char"/>
    <w:basedOn w:val="673"/>
    <w:link w:val="682"/>
    <w:uiPriority w:val="99"/>
  </w:style>
  <w:style w:type="paragraph" w:styleId="44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2"/>
    <w:uiPriority w:val="99"/>
  </w:style>
  <w:style w:type="table" w:styleId="46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3"/>
    <w:uiPriority w:val="99"/>
    <w:unhideWhenUsed/>
    <w:rPr>
      <w:vertAlign w:val="superscript"/>
    </w:rPr>
  </w:style>
  <w:style w:type="paragraph" w:styleId="176">
    <w:name w:val="endnote text"/>
    <w:basedOn w:val="67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3"/>
    <w:uiPriority w:val="99"/>
    <w:semiHidden/>
    <w:unhideWhenUsed/>
    <w:rPr>
      <w:vertAlign w:val="superscript"/>
    </w:rPr>
  </w:style>
  <w:style w:type="paragraph" w:styleId="179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  <w:pPr>
      <w:spacing w:after="200" w:line="276" w:lineRule="auto"/>
    </w:pPr>
    <w:rPr>
      <w:rFonts w:ascii="Calibri" w:hAnsi="Calibri" w:cs="Times New Roman" w:eastAsia="Calibri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>
    <w:name w:val="List Paragraph"/>
    <w:basedOn w:val="672"/>
    <w:uiPriority w:val="1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7" w:customStyle="1">
    <w:name w:val="Pa2"/>
    <w:basedOn w:val="672"/>
    <w:next w:val="672"/>
    <w:pPr>
      <w:spacing w:after="0" w:line="221" w:lineRule="atLeast"/>
    </w:pPr>
    <w:rPr>
      <w:rFonts w:ascii="BannikovaAP" w:hAnsi="BannikovaAP" w:eastAsia="Times New Roman"/>
      <w:sz w:val="24"/>
      <w:szCs w:val="24"/>
      <w:lang w:eastAsia="ru-RU"/>
    </w:rPr>
  </w:style>
  <w:style w:type="character" w:styleId="678" w:customStyle="1">
    <w:name w:val="extendedtext-full"/>
    <w:basedOn w:val="673"/>
  </w:style>
  <w:style w:type="paragraph" w:styleId="679" w:customStyle="1">
    <w:name w:val="headertext"/>
    <w:basedOn w:val="67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80">
    <w:name w:val="Header"/>
    <w:basedOn w:val="672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3"/>
    <w:link w:val="680"/>
    <w:uiPriority w:val="99"/>
    <w:rPr>
      <w:rFonts w:ascii="Calibri" w:hAnsi="Calibri" w:cs="Times New Roman" w:eastAsia="Calibri"/>
    </w:rPr>
  </w:style>
  <w:style w:type="paragraph" w:styleId="682">
    <w:name w:val="Footer"/>
    <w:basedOn w:val="672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3"/>
    <w:link w:val="682"/>
    <w:uiPriority w:val="99"/>
    <w:rPr>
      <w:rFonts w:ascii="Calibri" w:hAnsi="Calibri" w:cs="Times New Roman" w:eastAsia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Тарханова Юлия Борисовна</dc:creator>
  <cp:keywords/>
  <dc:description/>
  <cp:revision>10</cp:revision>
  <dcterms:created xsi:type="dcterms:W3CDTF">2022-05-12T07:07:00Z</dcterms:created>
  <dcterms:modified xsi:type="dcterms:W3CDTF">2022-05-13T10:40:53Z</dcterms:modified>
</cp:coreProperties>
</file>